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pacing w:val="90"/>
          <w:sz w:val="36"/>
          <w:szCs w:val="36"/>
        </w:rPr>
      </w:pPr>
      <w:r>
        <w:rPr>
          <w:rFonts w:hint="eastAsia" w:ascii="黑体" w:eastAsia="黑体"/>
          <w:bCs/>
          <w:spacing w:val="90"/>
          <w:sz w:val="36"/>
          <w:szCs w:val="36"/>
          <w:lang w:val="en-US" w:eastAsia="zh-CN"/>
        </w:rPr>
        <w:t>侯卓简</w:t>
      </w:r>
      <w:r>
        <w:rPr>
          <w:rFonts w:hint="eastAsia" w:ascii="黑体" w:eastAsia="黑体"/>
          <w:bCs/>
          <w:spacing w:val="90"/>
          <w:sz w:val="36"/>
          <w:szCs w:val="36"/>
        </w:rPr>
        <w:t>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一、潜心教书育人，人才培养质效显著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2016年7月入职中南财经政法大学以来，坚持为法学本科生讲授《经济法学》《财税法学》等法学核心课程，为法学硕士研究生讲授《宏观调控法学》等课程，学生评教成绩位于最前列，教学成果突出。除课堂教学外，积极指导本科生、研究生开展课题研究和参与学术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二、醉心学术研究，执着追求理论创新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求学和工作期间持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续开展经济法、财税法方面的学术研究，已成为我国有较大影响力的经济法、财税法青年学者。在经济法和财税法基础理论、财政事权法治化、税收征管法等领域提出了一系列有创造性的学术观点。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2023年7月，已主持并参与多项国家社科基金重大项目、国家社科基金重点项目、省部级项目和委托项目。在《中国社会科学》等报刊发表经济法方面的学术论文90余篇，其中60余篇发表在权威及核心期刊。出版学术著作5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三、热心社会实践，运用所学奉献社会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理论联系实际、理论服务实践，深度融入我省乃至我国的法治建设进程，为其提供智识支撑。曾挂职担任武汉东湖新技术开发区人民法院副院长，参与十余个疑难案件的处理，协助多元解纷工作站进驻光谷八大产业园区，因挂职期间表现突出而在挂职期满时获评优秀。担任政协湖北省委员会经济委员会应用型智库专家，多份研究成果报送有关国家机关，获得省部级领导批示或省部级国家机关采纳。为十余部经济法律的起草提供专家意见、参与立法论证或参与起草专家建议稿。为各级人民法院、税务局等国家机关开展法治讲座50余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E496B"/>
    <w:rsid w:val="4D4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2023-07-22T02:34:00Z</dcterms:created>
  <dc:creator>尤军</dc:creator>
  <cp:lastModifiedBy>尤军</cp:lastModifiedBy>
  <dcterms:modified xsi:type="dcterms:W3CDTF">2023-07-22T02:54:04Z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5D507CC762D44AF7B9CE9BC243865A33</vt:lpwstr>
  </property>
</Properties>
</file>